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377"/>
        <w:gridCol w:w="3544"/>
      </w:tblGrid>
      <w:tr w:rsidR="004259FE" w:rsidRPr="004259FE" w:rsidTr="00D80563">
        <w:trPr>
          <w:trHeight w:val="72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bookmarkStart w:id="0" w:name="_GoBack"/>
            <w:bookmarkEnd w:id="0"/>
            <w:r w:rsidRPr="004259FE"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ვაქცინა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ასაკი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eastAsia="Times New Roman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ბცჟ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BCG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0-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5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დღე</w:t>
            </w:r>
          </w:p>
        </w:tc>
      </w:tr>
      <w:tr w:rsidR="004259FE" w:rsidRPr="004259FE" w:rsidTr="00D80563">
        <w:trPr>
          <w:trHeight w:val="940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B </w:t>
            </w: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 xml:space="preserve">ჰეპატიტი </w:t>
            </w: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HepB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0-12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საათი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ჰექსა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 xml:space="preserve">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Hib+</w:t>
            </w:r>
            <w:proofErr w:type="spellStart"/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DP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a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T+HEPB+IPV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276FE5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2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, 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3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,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 4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თვე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 </w:t>
            </w:r>
          </w:p>
        </w:tc>
      </w:tr>
      <w:tr w:rsidR="004259FE" w:rsidRPr="004259FE" w:rsidTr="00D80563">
        <w:trPr>
          <w:trHeight w:val="940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 xml:space="preserve">პოლიომიელიტი ორალური 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(OPV)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18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თვე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, 5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წელი</w:t>
            </w:r>
          </w:p>
        </w:tc>
      </w:tr>
      <w:tr w:rsidR="00D80563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0563" w:rsidRPr="00D80563" w:rsidRDefault="00D80563" w:rsidP="00276F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</w:pPr>
            <w:proofErr w:type="spellStart"/>
            <w:r w:rsidRPr="00D80563"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დიფთერია</w:t>
            </w:r>
            <w:r w:rsidRPr="00D80563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-</w:t>
            </w:r>
            <w:r w:rsidRPr="00D80563"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ტეტანუსი</w:t>
            </w:r>
            <w:proofErr w:type="spellEnd"/>
            <w:r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 xml:space="preserve">-ყივანახველა </w:t>
            </w:r>
            <w:r>
              <w:rPr>
                <w:rFonts w:ascii="Sylfaen" w:eastAsia="Times New Roman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(</w:t>
            </w:r>
            <w:r w:rsidRPr="00D80563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DPT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80563" w:rsidRPr="004259FE" w:rsidRDefault="00D80563" w:rsidP="004259FE">
            <w:pPr>
              <w:spacing w:after="0" w:line="240" w:lineRule="auto"/>
              <w:textAlignment w:val="baseline"/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</w:pPr>
            <w:r w:rsidRPr="00D80563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18 </w:t>
            </w:r>
            <w:r w:rsidRPr="00D80563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თვე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276FE5">
            <w:pPr>
              <w:spacing w:after="0" w:line="240" w:lineRule="auto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 </w:t>
            </w: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დიფთერია</w:t>
            </w:r>
            <w:r w:rsidR="00276FE5"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-</w:t>
            </w: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ტეტანუსი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DT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5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წელი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59FE" w:rsidRPr="004259FE" w:rsidRDefault="004259FE" w:rsidP="00276FE5">
            <w:pPr>
              <w:spacing w:after="0" w:line="240" w:lineRule="auto"/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ტეტანუსი</w:t>
            </w:r>
            <w:r w:rsidR="00276FE5"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-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დიფთერია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Td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14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>წ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ელი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276FE5" w:rsidP="00276FE5">
            <w:pPr>
              <w:spacing w:after="0" w:line="240" w:lineRule="auto"/>
              <w:rPr>
                <w:rFonts w:eastAsia="Times New Roman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წითელა-წითურა-</w:t>
            </w:r>
            <w:r w:rsidR="004259FE"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ყბაყურა (</w:t>
            </w:r>
            <w:r w:rsidR="004259FE"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MMR</w:t>
            </w:r>
            <w:r w:rsidR="004259FE"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12 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თვე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 xml:space="preserve">, 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5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წელი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eastAsia="Times New Roman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როტავირუსული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Rota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2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,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 xml:space="preserve">  3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თვე</w:t>
            </w:r>
          </w:p>
        </w:tc>
      </w:tr>
      <w:tr w:rsidR="004259FE" w:rsidRPr="004259FE" w:rsidTr="00D80563">
        <w:trPr>
          <w:trHeight w:val="661"/>
        </w:trPr>
        <w:tc>
          <w:tcPr>
            <w:tcW w:w="5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rPr>
                <w:rFonts w:eastAsia="Times New Roman" w:cs="Times New Roman"/>
                <w:sz w:val="36"/>
                <w:szCs w:val="36"/>
                <w:lang w:eastAsia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პნევმო (</w:t>
            </w:r>
            <w:r w:rsidRPr="004259FE">
              <w:rPr>
                <w:rFonts w:ascii="Calibri" w:eastAsia="Times New Roman" w:hAnsi="Calibri" w:cs="Calibri"/>
                <w:b/>
                <w:bCs/>
                <w:color w:val="000000" w:themeColor="text1"/>
                <w:kern w:val="24"/>
                <w:sz w:val="36"/>
                <w:szCs w:val="36"/>
                <w:lang w:val="tr-TR" w:eastAsia="ka-GE"/>
              </w:rPr>
              <w:t>PCV</w:t>
            </w:r>
            <w:r>
              <w:rPr>
                <w:rFonts w:eastAsia="Times New Roman" w:cs="Calibri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D9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259FE" w:rsidRPr="004259FE" w:rsidRDefault="004259FE" w:rsidP="004259FE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36"/>
                <w:szCs w:val="36"/>
                <w:lang w:eastAsia="ka-GE"/>
              </w:rPr>
            </w:pP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2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, 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3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, 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ru-RU" w:eastAsia="ka-GE"/>
              </w:rPr>
              <w:t>12</w:t>
            </w:r>
            <w:r w:rsidRPr="004259FE">
              <w:rPr>
                <w:rFonts w:ascii="Calibri" w:eastAsia="MS PGothic" w:hAnsi="Calibri" w:cs="Arial"/>
                <w:b/>
                <w:bCs/>
                <w:color w:val="000000" w:themeColor="text1"/>
                <w:kern w:val="24"/>
                <w:sz w:val="36"/>
                <w:szCs w:val="36"/>
                <w:lang w:val="en-US" w:eastAsia="ka-GE"/>
              </w:rPr>
              <w:t xml:space="preserve"> </w:t>
            </w:r>
            <w:r w:rsidRPr="004259FE">
              <w:rPr>
                <w:rFonts w:ascii="Sylfaen" w:eastAsia="MS PGothic" w:hAnsi="Sylfaen" w:cs="Sylfaen"/>
                <w:b/>
                <w:bCs/>
                <w:color w:val="000000" w:themeColor="text1"/>
                <w:kern w:val="24"/>
                <w:sz w:val="36"/>
                <w:szCs w:val="36"/>
                <w:lang w:eastAsia="ka-GE"/>
              </w:rPr>
              <w:t>თვე</w:t>
            </w:r>
          </w:p>
        </w:tc>
      </w:tr>
    </w:tbl>
    <w:p w:rsidR="00507DC9" w:rsidRDefault="00507DC9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/>
    <w:p w:rsidR="004259FE" w:rsidRDefault="004259FE" w:rsidP="004259FE">
      <w:pPr>
        <w:keepLines/>
        <w:rPr>
          <w:rFonts w:ascii="Sylfaen" w:hAnsi="Sylfaen" w:cs="Sylfaen"/>
          <w:b/>
        </w:rPr>
      </w:pPr>
      <w:r w:rsidRPr="00D1289B">
        <w:rPr>
          <w:rFonts w:ascii="Sylfaen" w:hAnsi="Sylfaen" w:cs="Sylfaen"/>
          <w:b/>
        </w:rPr>
        <w:t>პროფილაქტიკური</w:t>
      </w:r>
      <w:r w:rsidRPr="00D1289B">
        <w:rPr>
          <w:b/>
          <w:lang w:val="pt-BR"/>
        </w:rPr>
        <w:t xml:space="preserve"> </w:t>
      </w:r>
      <w:r w:rsidRPr="00D1289B">
        <w:rPr>
          <w:rFonts w:ascii="Sylfaen" w:hAnsi="Sylfaen" w:cs="Sylfaen"/>
          <w:b/>
        </w:rPr>
        <w:t>აცრების</w:t>
      </w:r>
      <w:r w:rsidRPr="00D1289B">
        <w:rPr>
          <w:b/>
          <w:lang w:val="pt-BR"/>
        </w:rPr>
        <w:t xml:space="preserve"> </w:t>
      </w:r>
      <w:r w:rsidRPr="00D1289B">
        <w:rPr>
          <w:rFonts w:ascii="Sylfaen" w:hAnsi="Sylfaen" w:cs="Sylfaen"/>
          <w:b/>
        </w:rPr>
        <w:t>ეროვნული</w:t>
      </w:r>
      <w:r w:rsidRPr="00D1289B">
        <w:rPr>
          <w:b/>
          <w:lang w:val="pt-BR"/>
        </w:rPr>
        <w:t xml:space="preserve"> </w:t>
      </w:r>
      <w:r w:rsidRPr="00D1289B">
        <w:rPr>
          <w:rFonts w:ascii="Sylfaen" w:hAnsi="Sylfaen" w:cs="Sylfaen"/>
          <w:b/>
        </w:rPr>
        <w:t>კალენდარი</w:t>
      </w:r>
    </w:p>
    <w:p w:rsidR="004259FE" w:rsidRPr="004259FE" w:rsidRDefault="004259FE" w:rsidP="004259FE">
      <w:pPr>
        <w:keepLines/>
        <w:rPr>
          <w:rFonts w:ascii="Sylfaen" w:hAnsi="Sylfaen" w:cs="Sylfaen"/>
        </w:rPr>
      </w:pPr>
      <w:r>
        <w:rPr>
          <w:rFonts w:ascii="Sylfaen" w:hAnsi="Sylfaen" w:cs="Sylfaen"/>
        </w:rPr>
        <w:t>(</w:t>
      </w:r>
      <w:r w:rsidRPr="004259FE">
        <w:rPr>
          <w:rFonts w:ascii="Sylfaen" w:hAnsi="Sylfaen" w:cs="Sylfaen"/>
        </w:rPr>
        <w:t>სშჯ</w:t>
      </w:r>
      <w:r>
        <w:rPr>
          <w:rFonts w:ascii="Sylfaen" w:hAnsi="Sylfaen" w:cs="Sylfaen"/>
        </w:rPr>
        <w:t>ს</w:t>
      </w:r>
      <w:r w:rsidRPr="004259FE">
        <w:rPr>
          <w:rFonts w:ascii="Sylfaen" w:hAnsi="Sylfaen" w:cs="Sylfaen"/>
        </w:rPr>
        <w:t>დ მინისტრის ბრძანება N01-57/ნ 19 ნოემბერი 2015 წ</w:t>
      </w:r>
      <w:r>
        <w:rPr>
          <w:rFonts w:ascii="Sylfaen" w:hAnsi="Sylfaen" w:cs="Sylfaen"/>
        </w:rPr>
        <w:t>)</w:t>
      </w:r>
      <w:r w:rsidRPr="004259FE">
        <w:rPr>
          <w:rFonts w:ascii="Sylfaen" w:hAnsi="Sylfaen" w:cs="Sylfaen"/>
        </w:rPr>
        <w:t>.</w:t>
      </w:r>
    </w:p>
    <w:p w:rsidR="004259FE" w:rsidRPr="00AA7FC0" w:rsidRDefault="004259FE" w:rsidP="004259FE">
      <w:pPr>
        <w:keepLines/>
        <w:rPr>
          <w:b/>
        </w:rPr>
      </w:pPr>
    </w:p>
    <w:tbl>
      <w:tblPr>
        <w:tblpPr w:leftFromText="180" w:rightFromText="180" w:vertAnchor="text" w:horzAnchor="margin" w:tblpXSpec="right" w:tblpY="50"/>
        <w:tblW w:w="10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9"/>
        <w:gridCol w:w="992"/>
        <w:gridCol w:w="908"/>
        <w:gridCol w:w="709"/>
        <w:gridCol w:w="708"/>
        <w:gridCol w:w="709"/>
        <w:gridCol w:w="709"/>
        <w:gridCol w:w="709"/>
        <w:gridCol w:w="708"/>
        <w:gridCol w:w="1219"/>
      </w:tblGrid>
      <w:tr w:rsidR="004259FE" w:rsidRPr="00D1289B" w:rsidTr="00A35AC3">
        <w:tc>
          <w:tcPr>
            <w:tcW w:w="3499" w:type="dxa"/>
            <w:tcBorders>
              <w:top w:val="thinThickSmallGap" w:sz="24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  <w:tl2br w:val="double" w:sz="4" w:space="0" w:color="0099CC"/>
            </w:tcBorders>
            <w:shd w:val="clear" w:color="auto" w:fill="CCECFF"/>
          </w:tcPr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rFonts w:ascii="Sylfaen" w:hAnsi="Sylfaen" w:cs="Sylfaen"/>
                <w:b/>
                <w:szCs w:val="20"/>
              </w:rPr>
              <w:t xml:space="preserve">                                 ასაკი                                   </w:t>
            </w:r>
          </w:p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rFonts w:ascii="Sylfaen" w:hAnsi="Sylfaen" w:cs="Sylfaen"/>
                <w:b/>
                <w:szCs w:val="20"/>
              </w:rPr>
              <w:t>ვაქცინა</w:t>
            </w:r>
          </w:p>
        </w:tc>
        <w:tc>
          <w:tcPr>
            <w:tcW w:w="992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A35AC3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  <w:lang w:val="en-US"/>
              </w:rPr>
            </w:pPr>
            <w:r w:rsidRPr="00CE3820">
              <w:rPr>
                <w:rFonts w:ascii="Sylfaen" w:hAnsi="Sylfaen" w:cs="Sylfaen"/>
                <w:b/>
                <w:szCs w:val="20"/>
              </w:rPr>
              <w:t>0-12 საათი</w:t>
            </w:r>
            <w:r w:rsidR="00A35AC3">
              <w:rPr>
                <w:rFonts w:ascii="Sylfaen" w:hAnsi="Sylfaen" w:cs="Sylfaen"/>
                <w:b/>
                <w:szCs w:val="20"/>
                <w:lang w:val="en-US"/>
              </w:rPr>
              <w:t xml:space="preserve"> (hour)</w:t>
            </w:r>
          </w:p>
        </w:tc>
        <w:tc>
          <w:tcPr>
            <w:tcW w:w="908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A35AC3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  <w:lang w:val="en-US"/>
              </w:rPr>
            </w:pPr>
            <w:r w:rsidRPr="00CE3820">
              <w:rPr>
                <w:rFonts w:ascii="Sylfaen" w:hAnsi="Sylfaen" w:cs="Sylfaen"/>
                <w:b/>
                <w:szCs w:val="20"/>
              </w:rPr>
              <w:t>0-5 დღე</w:t>
            </w:r>
            <w:r w:rsidR="00A35AC3">
              <w:rPr>
                <w:rFonts w:ascii="Sylfaen" w:hAnsi="Sylfaen" w:cs="Sylfaen"/>
                <w:b/>
                <w:szCs w:val="20"/>
                <w:lang w:val="en-US"/>
              </w:rPr>
              <w:t xml:space="preserve"> (day)</w:t>
            </w:r>
          </w:p>
        </w:tc>
        <w:tc>
          <w:tcPr>
            <w:tcW w:w="709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2 </w:t>
            </w:r>
            <w:r w:rsidRPr="00CE3820">
              <w:rPr>
                <w:rFonts w:ascii="Sylfaen" w:hAnsi="Sylfaen" w:cs="Sylfaen"/>
                <w:b/>
                <w:szCs w:val="20"/>
              </w:rPr>
              <w:t>თვე</w:t>
            </w:r>
          </w:p>
          <w:p w:rsidR="00A35AC3" w:rsidRPr="00A35AC3" w:rsidRDefault="00A35AC3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  <w:lang w:val="en-US"/>
              </w:rPr>
            </w:pPr>
            <w:r>
              <w:rPr>
                <w:rFonts w:ascii="Sylfaen" w:hAnsi="Sylfaen" w:cs="Sylfaen"/>
                <w:b/>
                <w:szCs w:val="20"/>
                <w:lang w:val="en-US"/>
              </w:rPr>
              <w:t>(month)</w:t>
            </w:r>
          </w:p>
        </w:tc>
        <w:tc>
          <w:tcPr>
            <w:tcW w:w="708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CE3820" w:rsidRDefault="004259FE" w:rsidP="00F26C78">
            <w:pPr>
              <w:keepLines/>
              <w:jc w:val="both"/>
              <w:rPr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3 </w:t>
            </w:r>
            <w:r w:rsidRPr="00CE3820">
              <w:rPr>
                <w:rFonts w:ascii="Sylfaen" w:hAnsi="Sylfaen" w:cs="Sylfaen"/>
                <w:b/>
                <w:szCs w:val="20"/>
              </w:rPr>
              <w:t>თვე</w:t>
            </w:r>
            <w:r w:rsidR="00A35AC3" w:rsidRPr="00A35AC3">
              <w:rPr>
                <w:rFonts w:ascii="Sylfaen" w:hAnsi="Sylfaen" w:cs="Sylfaen"/>
                <w:b/>
                <w:szCs w:val="20"/>
              </w:rPr>
              <w:t>(month)</w:t>
            </w:r>
          </w:p>
        </w:tc>
        <w:tc>
          <w:tcPr>
            <w:tcW w:w="709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4 </w:t>
            </w:r>
            <w:r w:rsidRPr="00CE3820">
              <w:rPr>
                <w:rFonts w:ascii="Sylfaen" w:hAnsi="Sylfaen" w:cs="Sylfaen"/>
                <w:b/>
                <w:szCs w:val="20"/>
              </w:rPr>
              <w:t>თვე</w:t>
            </w:r>
            <w:r w:rsidR="00A35AC3" w:rsidRPr="00A35AC3">
              <w:rPr>
                <w:rFonts w:ascii="Sylfaen" w:hAnsi="Sylfaen" w:cs="Sylfaen"/>
                <w:b/>
                <w:szCs w:val="20"/>
              </w:rPr>
              <w:t>(month)</w:t>
            </w:r>
          </w:p>
        </w:tc>
        <w:tc>
          <w:tcPr>
            <w:tcW w:w="709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12 </w:t>
            </w:r>
            <w:r w:rsidRPr="00CE3820">
              <w:rPr>
                <w:rFonts w:ascii="Sylfaen" w:hAnsi="Sylfaen" w:cs="Sylfaen"/>
                <w:b/>
                <w:szCs w:val="20"/>
              </w:rPr>
              <w:t>თვე</w:t>
            </w:r>
            <w:r w:rsidR="00A35AC3" w:rsidRPr="00A35AC3">
              <w:rPr>
                <w:rFonts w:ascii="Sylfaen" w:hAnsi="Sylfaen" w:cs="Sylfaen"/>
                <w:b/>
                <w:szCs w:val="20"/>
              </w:rPr>
              <w:t>(month)</w:t>
            </w:r>
          </w:p>
        </w:tc>
        <w:tc>
          <w:tcPr>
            <w:tcW w:w="709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18 </w:t>
            </w:r>
            <w:r w:rsidRPr="00CE3820">
              <w:rPr>
                <w:rFonts w:ascii="Sylfaen" w:hAnsi="Sylfaen" w:cs="Sylfaen"/>
                <w:b/>
                <w:szCs w:val="20"/>
              </w:rPr>
              <w:t>თვე</w:t>
            </w:r>
            <w:r w:rsidR="00A35AC3">
              <w:rPr>
                <w:rFonts w:ascii="Sylfaen" w:hAnsi="Sylfaen" w:cs="Sylfaen"/>
                <w:b/>
                <w:szCs w:val="20"/>
                <w:lang w:val="en-US"/>
              </w:rPr>
              <w:t xml:space="preserve"> </w:t>
            </w:r>
            <w:r w:rsidR="00A35AC3" w:rsidRPr="00A35AC3">
              <w:rPr>
                <w:rFonts w:ascii="Sylfaen" w:hAnsi="Sylfaen" w:cs="Sylfaen"/>
                <w:b/>
                <w:szCs w:val="20"/>
              </w:rPr>
              <w:t>(month)</w:t>
            </w:r>
          </w:p>
        </w:tc>
        <w:tc>
          <w:tcPr>
            <w:tcW w:w="708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CCECFF"/>
            <w:vAlign w:val="center"/>
          </w:tcPr>
          <w:p w:rsidR="004259FE" w:rsidRPr="00A35AC3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  <w:lang w:val="en-US"/>
              </w:rPr>
            </w:pPr>
            <w:r w:rsidRPr="00CE3820">
              <w:rPr>
                <w:b/>
                <w:szCs w:val="20"/>
              </w:rPr>
              <w:t xml:space="preserve">5 </w:t>
            </w:r>
            <w:r w:rsidRPr="00CE3820">
              <w:rPr>
                <w:rFonts w:ascii="Sylfaen" w:hAnsi="Sylfaen" w:cs="Sylfaen"/>
                <w:b/>
                <w:szCs w:val="20"/>
              </w:rPr>
              <w:t>წელი</w:t>
            </w:r>
            <w:r w:rsidR="00A35AC3">
              <w:rPr>
                <w:rFonts w:ascii="Sylfaen" w:hAnsi="Sylfaen" w:cs="Sylfaen"/>
                <w:b/>
                <w:szCs w:val="20"/>
                <w:lang w:val="en-US"/>
              </w:rPr>
              <w:t xml:space="preserve"> (year)</w:t>
            </w:r>
          </w:p>
        </w:tc>
        <w:tc>
          <w:tcPr>
            <w:tcW w:w="1219" w:type="dxa"/>
            <w:tcBorders>
              <w:top w:val="thinThickSmallGap" w:sz="24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CCECFF"/>
            <w:vAlign w:val="center"/>
          </w:tcPr>
          <w:p w:rsidR="004259FE" w:rsidRPr="00CE3820" w:rsidRDefault="004259FE" w:rsidP="00F26C78">
            <w:pPr>
              <w:keepLines/>
              <w:jc w:val="both"/>
              <w:rPr>
                <w:rFonts w:ascii="Sylfaen" w:hAnsi="Sylfaen" w:cs="Sylfaen"/>
                <w:b/>
                <w:szCs w:val="20"/>
              </w:rPr>
            </w:pPr>
            <w:r w:rsidRPr="00CE3820">
              <w:rPr>
                <w:b/>
                <w:szCs w:val="20"/>
              </w:rPr>
              <w:t xml:space="preserve">14 </w:t>
            </w:r>
            <w:r w:rsidRPr="00CE3820">
              <w:rPr>
                <w:rFonts w:ascii="Sylfaen" w:hAnsi="Sylfaen" w:cs="Sylfaen"/>
                <w:b/>
                <w:szCs w:val="20"/>
              </w:rPr>
              <w:t>წელი</w:t>
            </w:r>
            <w:r w:rsidR="00A35AC3">
              <w:rPr>
                <w:rFonts w:ascii="Sylfaen" w:hAnsi="Sylfaen" w:cs="Sylfaen"/>
                <w:b/>
                <w:szCs w:val="20"/>
                <w:lang w:val="en-US"/>
              </w:rPr>
              <w:t xml:space="preserve"> </w:t>
            </w:r>
            <w:r w:rsidR="00A35AC3" w:rsidRPr="00A35AC3">
              <w:rPr>
                <w:rFonts w:ascii="Sylfaen" w:hAnsi="Sylfaen" w:cs="Sylfaen"/>
                <w:b/>
                <w:szCs w:val="20"/>
              </w:rPr>
              <w:t>(year)</w:t>
            </w:r>
          </w:p>
        </w:tc>
      </w:tr>
      <w:tr w:rsidR="004259FE" w:rsidRPr="00D1289B" w:rsidTr="00A35AC3">
        <w:trPr>
          <w:trHeight w:val="298"/>
        </w:trPr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spacing w:before="140"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B ჰეპატიტი 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ჰეპB /Hep B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  <w:r w:rsidRPr="001E543E">
              <w:rPr>
                <w:rFonts w:ascii="Sylfaen" w:hAnsi="Sylfaen"/>
                <w:color w:val="0070C0"/>
                <w:szCs w:val="20"/>
              </w:rPr>
              <w:t xml:space="preserve">    </w:t>
            </w: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szCs w:val="20"/>
                <w:lang w:val="pt-BR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ბცჟ 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BCG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9E2F3"/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  <w:r w:rsidRPr="001E543E">
              <w:rPr>
                <w:rFonts w:ascii="Sylfaen" w:hAnsi="Sylfaen"/>
                <w:color w:val="0070C0"/>
                <w:szCs w:val="20"/>
              </w:rPr>
              <w:t xml:space="preserve">  </w:t>
            </w:r>
            <w:r w:rsidRPr="001E543E">
              <w:rPr>
                <w:rFonts w:ascii="Sylfaen" w:hAnsi="Sylfaen"/>
                <w:color w:val="0070C0"/>
                <w:szCs w:val="20"/>
                <w:shd w:val="clear" w:color="auto" w:fill="DEEAF6"/>
              </w:rPr>
              <w:t xml:space="preserve">   </w:t>
            </w:r>
            <w:r w:rsidRPr="001E543E">
              <w:rPr>
                <w:color w:val="0070C0"/>
                <w:szCs w:val="20"/>
                <w:shd w:val="clear" w:color="auto" w:fill="DEEAF6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vAlign w:val="center"/>
          </w:tcPr>
          <w:p w:rsidR="004259FE" w:rsidRPr="00D1289B" w:rsidRDefault="004259FE" w:rsidP="00F26C78">
            <w:pPr>
              <w:jc w:val="both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დყ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  <w:vertAlign w:val="subscript"/>
              </w:rPr>
              <w:t>ა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ტ+</w:t>
            </w:r>
            <w:r w:rsidRPr="00013BBA">
              <w:rPr>
                <w:lang w:val="pt-BR"/>
              </w:rPr>
              <w:t xml:space="preserve"> </w:t>
            </w:r>
            <w:r w:rsidRPr="00013BBA">
              <w:rPr>
                <w:rFonts w:ascii="Sylfaen" w:hAnsi="Sylfaen" w:cs="Sylfaen"/>
                <w:spacing w:val="-4"/>
                <w:kern w:val="28"/>
                <w:szCs w:val="20"/>
              </w:rPr>
              <w:t xml:space="preserve">B 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ჰეპ +ჰიb+იპვ (</w:t>
            </w:r>
            <w:r w:rsidRPr="00CE3820">
              <w:rPr>
                <w:rFonts w:ascii="Sylfaen" w:hAnsi="Sylfaen" w:cs="Sylfaen"/>
                <w:b/>
                <w:spacing w:val="-4"/>
                <w:kern w:val="28"/>
                <w:szCs w:val="20"/>
              </w:rPr>
              <w:t>ჰექსა/DPaT+HepB+Hib+IPV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პნევმოკოკური ინფექციის საწინააღმდეგო ვაქცინა</w:t>
            </w:r>
          </w:p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პნევმო/PCV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</w:p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</w:p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როტავირუსული ინფექციის საწინააღმდეგო ვაქცინა</w:t>
            </w:r>
          </w:p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როტა/Rota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</w:p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</w:tcPr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</w:p>
          <w:p w:rsidR="004259FE" w:rsidRPr="00CD66E4" w:rsidRDefault="004259FE" w:rsidP="00F26C78">
            <w:pPr>
              <w:jc w:val="center"/>
              <w:rPr>
                <w:color w:val="0070C0"/>
                <w:szCs w:val="20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rPr>
          <w:trHeight w:val="558"/>
        </w:trPr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წითელა, წითურა, ყბაყურა 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წწყ/MMR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  <w:r w:rsidRPr="00CD66E4">
              <w:rPr>
                <w:color w:val="0070C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  <w:r w:rsidRPr="00D1289B">
              <w:rPr>
                <w:color w:val="0070C0"/>
              </w:rPr>
              <w:t>X</w:t>
            </w: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დიფთერია, ყივანახველა, ტეტანუსი (</w:t>
            </w:r>
            <w:r w:rsidRPr="00CE3820">
              <w:rPr>
                <w:rFonts w:ascii="Sylfaen" w:hAnsi="Sylfaen" w:cs="Sylfaen"/>
                <w:b/>
                <w:spacing w:val="-4"/>
                <w:kern w:val="28"/>
                <w:szCs w:val="20"/>
              </w:rPr>
              <w:t>დყტ/DPT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color w:val="0070C0"/>
              </w:rPr>
            </w:pPr>
            <w:r w:rsidRPr="00D1289B">
              <w:rPr>
                <w:color w:val="0070C0"/>
              </w:rPr>
              <w:t>X</w:t>
            </w: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პოლიომიელიტის ორალური ვაქცინა  (</w:t>
            </w:r>
            <w:r w:rsidRPr="00CE3820">
              <w:rPr>
                <w:rFonts w:ascii="Sylfaen" w:hAnsi="Sylfaen"/>
                <w:b/>
                <w:spacing w:val="-4"/>
                <w:kern w:val="28"/>
                <w:szCs w:val="20"/>
              </w:rPr>
              <w:t>ოპვ/OPV</w:t>
            </w:r>
            <w:r w:rsidRPr="00CD66E4">
              <w:rPr>
                <w:rFonts w:ascii="Sylfaen" w:hAnsi="Sylfaen"/>
                <w:spacing w:val="-4"/>
                <w:kern w:val="28"/>
                <w:szCs w:val="20"/>
              </w:rPr>
              <w:t>)*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color w:val="0070C0"/>
              </w:rPr>
            </w:pPr>
            <w:r w:rsidRPr="00D1289B">
              <w:rPr>
                <w:color w:val="0070C0"/>
              </w:rPr>
              <w:t>X</w:t>
            </w: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color w:val="0070C0"/>
              </w:rPr>
            </w:pPr>
            <w:r w:rsidRPr="00D1289B">
              <w:rPr>
                <w:color w:val="0070C0"/>
              </w:rPr>
              <w:t>X</w:t>
            </w: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rPr>
          <w:trHeight w:val="498"/>
        </w:trPr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დიფთერია-ტეტანუსი (</w:t>
            </w:r>
            <w:r w:rsidRPr="00CE3820">
              <w:rPr>
                <w:rFonts w:ascii="Sylfaen" w:hAnsi="Sylfaen" w:cs="Sylfaen"/>
                <w:b/>
                <w:spacing w:val="-4"/>
                <w:kern w:val="28"/>
                <w:szCs w:val="20"/>
              </w:rPr>
              <w:t>DT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color w:val="0070C0"/>
              </w:rPr>
            </w:pPr>
            <w:r w:rsidRPr="00D1289B">
              <w:rPr>
                <w:color w:val="0070C0"/>
              </w:rPr>
              <w:t>X</w:t>
            </w: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</w:tr>
      <w:tr w:rsidR="004259FE" w:rsidRPr="00D1289B" w:rsidTr="00A35AC3">
        <w:trPr>
          <w:trHeight w:val="411"/>
        </w:trPr>
        <w:tc>
          <w:tcPr>
            <w:tcW w:w="3499" w:type="dxa"/>
            <w:tcBorders>
              <w:top w:val="single" w:sz="18" w:space="0" w:color="0099CC"/>
              <w:left w:val="thinThickSmallGap" w:sz="2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keepNext/>
              <w:keepLines/>
              <w:jc w:val="center"/>
              <w:rPr>
                <w:rFonts w:ascii="Sylfaen" w:hAnsi="Sylfaen"/>
                <w:spacing w:val="-4"/>
                <w:kern w:val="28"/>
                <w:szCs w:val="20"/>
              </w:rPr>
            </w:pP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ტეტანუსი-დიფთერია (</w:t>
            </w:r>
            <w:r w:rsidRPr="00CE3820">
              <w:rPr>
                <w:rFonts w:ascii="Sylfaen" w:hAnsi="Sylfaen" w:cs="Sylfaen"/>
                <w:b/>
                <w:spacing w:val="-4"/>
                <w:kern w:val="28"/>
                <w:szCs w:val="20"/>
              </w:rPr>
              <w:t>Td</w:t>
            </w:r>
            <w:r w:rsidRPr="00CD66E4">
              <w:rPr>
                <w:rFonts w:ascii="Sylfaen" w:hAnsi="Sylfaen" w:cs="Sylfaen"/>
                <w:spacing w:val="-4"/>
                <w:kern w:val="28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9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vAlign w:val="center"/>
          </w:tcPr>
          <w:p w:rsidR="004259FE" w:rsidRPr="00CD66E4" w:rsidRDefault="004259FE" w:rsidP="00F26C78">
            <w:pPr>
              <w:jc w:val="both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CD66E4" w:rsidRDefault="004259FE" w:rsidP="00F26C78">
            <w:pPr>
              <w:jc w:val="center"/>
              <w:rPr>
                <w:rFonts w:ascii="Sylfaen" w:hAnsi="Sylfaen" w:cs="Sylfaen"/>
                <w:color w:val="0070C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708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double" w:sz="4" w:space="0" w:color="0099CC"/>
            </w:tcBorders>
            <w:shd w:val="clear" w:color="auto" w:fill="FFFFFF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</w:p>
        </w:tc>
        <w:tc>
          <w:tcPr>
            <w:tcW w:w="1219" w:type="dxa"/>
            <w:tcBorders>
              <w:top w:val="single" w:sz="18" w:space="0" w:color="0099CC"/>
              <w:left w:val="double" w:sz="4" w:space="0" w:color="0099CC"/>
              <w:bottom w:val="single" w:sz="18" w:space="0" w:color="0099CC"/>
              <w:right w:val="thickThinSmallGap" w:sz="24" w:space="0" w:color="0099CC"/>
            </w:tcBorders>
            <w:shd w:val="clear" w:color="auto" w:fill="DEEAF6"/>
            <w:vAlign w:val="center"/>
          </w:tcPr>
          <w:p w:rsidR="004259FE" w:rsidRPr="00D1289B" w:rsidRDefault="004259FE" w:rsidP="00F26C78">
            <w:pPr>
              <w:jc w:val="center"/>
              <w:rPr>
                <w:rFonts w:ascii="Sylfaen" w:hAnsi="Sylfaen" w:cs="Sylfaen"/>
                <w:color w:val="0070C0"/>
                <w:lang w:val="pt-BR"/>
              </w:rPr>
            </w:pPr>
            <w:r w:rsidRPr="00D1289B">
              <w:rPr>
                <w:color w:val="0070C0"/>
              </w:rPr>
              <w:t>X</w:t>
            </w:r>
          </w:p>
        </w:tc>
      </w:tr>
    </w:tbl>
    <w:p w:rsidR="004259FE" w:rsidRDefault="004259FE"/>
    <w:sectPr w:rsidR="0042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50A"/>
    <w:rsid w:val="00276FE5"/>
    <w:rsid w:val="004259FE"/>
    <w:rsid w:val="00507DC9"/>
    <w:rsid w:val="008D550A"/>
    <w:rsid w:val="00916463"/>
    <w:rsid w:val="009D3C0E"/>
    <w:rsid w:val="00A35AC3"/>
    <w:rsid w:val="00D8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5B4DE-AB55-43DB-B9EF-00F8C95C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a-G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2016-05-16T09:00:00Z</dcterms:created>
  <dcterms:modified xsi:type="dcterms:W3CDTF">2016-05-16T09:00:00Z</dcterms:modified>
</cp:coreProperties>
</file>